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Ogłoszenie nr 308706 - 2016 z dnia 2016-09-15 r.</w:t>
      </w:r>
    </w:p>
    <w:p>
      <w:pPr>
        <w:pStyle w:val="Normal"/>
        <w:spacing w:lineRule="atLeast" w:line="450" w:before="0" w:after="0"/>
        <w:jc w:val="center"/>
        <w:rPr>
          <w:rFonts w:eastAsia="Times New Roman"/>
          <w:b/>
          <w:b/>
          <w:bCs/>
          <w:color w:val="000000"/>
          <w:sz w:val="27"/>
          <w:szCs w:val="27"/>
          <w:lang w:eastAsia="pl-PL"/>
        </w:rPr>
      </w:pPr>
      <w:r>
        <w:rPr>
          <w:rFonts w:eastAsia="Times New Roman"/>
          <w:b/>
          <w:bCs/>
          <w:color w:val="000000"/>
          <w:sz w:val="22"/>
          <w:szCs w:val="22"/>
          <w:lang w:eastAsia="pl-PL"/>
        </w:rPr>
        <w:t>Stare Bogaczowice: Odbudowa zniszczonego mostu w drodze nr geod. 421 w Jabłowie wraz z odbudową drogi gminnej nr geod. 421 w Jabłowie 0+005 do 0+225 [Intensywne opady deszczu czerwiec 2013 r.] </w:t>
        <w:br/>
        <w:t>OGŁOSZENIE O ZAMÓWIENIU - Roboty budowlane</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Zamieszczanie ogłoszenia:</w:t>
      </w:r>
      <w:r>
        <w:rPr>
          <w:rFonts w:eastAsia="Times New Roman"/>
          <w:color w:val="000000"/>
          <w:sz w:val="22"/>
          <w:szCs w:val="22"/>
          <w:lang w:eastAsia="pl-PL"/>
        </w:rPr>
        <w:t> obowiązkowe</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Ogłoszenie dotyczy:</w:t>
      </w:r>
      <w:r>
        <w:rPr>
          <w:rFonts w:eastAsia="Times New Roman"/>
          <w:color w:val="000000"/>
          <w:sz w:val="22"/>
          <w:szCs w:val="22"/>
          <w:lang w:eastAsia="pl-PL"/>
        </w:rPr>
        <w:t> zamówienia publicznego</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Zamówienie dotyczy projektu lub programu współfinansowanego ze środków Unii Europejskiej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Nazwa projektu lub programu</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t>Należy podać minimalny procentowy wskaźnik zatrudnienia osób należących do jednej lub więcej kategorii, o których mowa w art. 22 ust. 2 ustawy Pzp, nie mniejszy niż 30%, osób zatrudnionych przez zakłady pracy chronionej lub wykonawców albo ich jednostki (w %) </w:t>
      </w:r>
    </w:p>
    <w:p>
      <w:pPr>
        <w:pStyle w:val="Normal"/>
        <w:spacing w:lineRule="atLeast" w:line="450" w:before="0" w:after="0"/>
        <w:rPr>
          <w:rFonts w:eastAsia="Times New Roman"/>
          <w:b/>
          <w:b/>
          <w:bCs/>
          <w:color w:val="000000"/>
          <w:sz w:val="27"/>
          <w:szCs w:val="27"/>
          <w:lang w:eastAsia="pl-PL"/>
        </w:rPr>
      </w:pPr>
      <w:r>
        <w:rPr>
          <w:rFonts w:eastAsia="Times New Roman"/>
          <w:b/>
          <w:bCs/>
          <w:color w:val="000000"/>
          <w:sz w:val="22"/>
          <w:szCs w:val="22"/>
          <w:u w:val="single"/>
          <w:lang w:eastAsia="pl-PL"/>
        </w:rPr>
        <w:t>SEKCJA I: ZAMAWIAJĄCY</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Postępowanie przeprowadza centralny zamawiający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Postępowanie przeprowadza podmiot, któremu zamawiający powierzył/powierzyli przeprowadzenie postępowania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Informacje na temat podmiotu któremu zamawiający powierzył/powierzyli prowadzenie postępowania:</w:t>
      </w:r>
      <w:r>
        <w:rPr>
          <w:rFonts w:eastAsia="Times New Roman"/>
          <w:color w:val="000000"/>
          <w:sz w:val="22"/>
          <w:szCs w:val="22"/>
          <w:lang w:eastAsia="pl-PL"/>
        </w:rPr>
        <w:br/>
      </w:r>
      <w:r>
        <w:rPr>
          <w:rFonts w:eastAsia="Times New Roman"/>
          <w:b/>
          <w:bCs/>
          <w:color w:val="000000"/>
          <w:sz w:val="22"/>
          <w:szCs w:val="22"/>
          <w:lang w:eastAsia="pl-PL"/>
        </w:rPr>
        <w:t>Postępowanie jest przeprowadzane wspólnie przez zamawiających</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t>Jeżeli tak, należy wymienić zamawiających, którzy wspólnie przeprowadzają postępowanie oraz podać adresy ich siedzib, krajowe numery identyfikacyjne oraz osoby do kontaktów wraz z danymi do kontaktów: </w:t>
        <w:br/>
        <w:br/>
      </w:r>
      <w:r>
        <w:rPr>
          <w:rFonts w:eastAsia="Times New Roman"/>
          <w:b/>
          <w:bCs/>
          <w:color w:val="000000"/>
          <w:sz w:val="22"/>
          <w:szCs w:val="22"/>
          <w:lang w:eastAsia="pl-PL"/>
        </w:rPr>
        <w:t>Postępowanie jest przeprowadzane wspólnie z zamawiającymi z innych państw członkowskich Unii Europejskiej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W przypadku przeprowadzania postępowania wspólnie z zamawiającymi z innych państw członkowskich Unii Europejskiej – mające zastosowanie krajowe prawo zamówień publicznych:</w:t>
      </w:r>
      <w:r>
        <w:rPr>
          <w:rFonts w:eastAsia="Times New Roman"/>
          <w:color w:val="000000"/>
          <w:sz w:val="22"/>
          <w:szCs w:val="22"/>
          <w:lang w:eastAsia="pl-PL"/>
        </w:rPr>
        <w:br/>
      </w:r>
      <w:r>
        <w:rPr>
          <w:rFonts w:eastAsia="Times New Roman"/>
          <w:b/>
          <w:bCs/>
          <w:color w:val="000000"/>
          <w:sz w:val="22"/>
          <w:szCs w:val="22"/>
          <w:lang w:eastAsia="pl-PL"/>
        </w:rPr>
        <w:t>Informacje dodatkowe:</w:t>
      </w:r>
    </w:p>
    <w:p>
      <w:pPr>
        <w:pStyle w:val="Normal"/>
        <w:spacing w:lineRule="atLeast" w:line="450" w:before="0" w:after="270"/>
        <w:rPr>
          <w:rFonts w:eastAsia="Times New Roman"/>
          <w:color w:val="000000"/>
          <w:sz w:val="27"/>
          <w:szCs w:val="27"/>
          <w:lang w:eastAsia="pl-PL"/>
        </w:rPr>
      </w:pPr>
      <w:r>
        <w:rPr>
          <w:rFonts w:eastAsia="Times New Roman"/>
          <w:b/>
          <w:bCs/>
          <w:color w:val="000000"/>
          <w:sz w:val="22"/>
          <w:szCs w:val="22"/>
          <w:lang w:eastAsia="pl-PL"/>
        </w:rPr>
        <w:t>I. 1) NAZWA I ADRES: </w:t>
      </w:r>
      <w:r>
        <w:rPr>
          <w:rFonts w:eastAsia="Times New Roman"/>
          <w:color w:val="000000"/>
          <w:sz w:val="22"/>
          <w:szCs w:val="22"/>
          <w:lang w:eastAsia="pl-PL"/>
        </w:rPr>
        <w:t>Urząd Gminy Stare Bogaczowice, krajowy numer identyfikacyjny 53931900000, ul. ul. Główna  132, 58312   Stare Bogaczowice, woj. dolnośląskie, państwo , tel. 074 8452220, 8452729, e-mail rig@starebogaczowice.ug.gov.pl, faks 748 452 266. </w:t>
        <w:br/>
        <w:t>Adres strony internetowej (URL): www.starebogaczowice.ug.gov.pl</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 2) RODZAJ ZAMAWIAJĄCEGO: </w:t>
      </w:r>
      <w:r>
        <w:rPr>
          <w:rFonts w:eastAsia="Times New Roman"/>
          <w:color w:val="000000"/>
          <w:sz w:val="22"/>
          <w:szCs w:val="22"/>
          <w:lang w:eastAsia="pl-PL"/>
        </w:rPr>
        <w:t>Administracja samorządowa</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I.3) WSPÓLNE UDZIELANIE ZAMÓWIENIA </w:t>
      </w:r>
      <w:r>
        <w:rPr>
          <w:rFonts w:eastAsia="Times New Roman"/>
          <w:b/>
          <w:bCs/>
          <w:i/>
          <w:iCs/>
          <w:color w:val="000000"/>
          <w:sz w:val="22"/>
          <w:szCs w:val="22"/>
          <w:lang w:eastAsia="pl-PL"/>
        </w:rPr>
        <w:t>(jeżeli dotyczy)</w:t>
      </w:r>
      <w:r>
        <w:rPr>
          <w:rFonts w:eastAsia="Times New Roman"/>
          <w:b/>
          <w:bCs/>
          <w:color w:val="000000"/>
          <w:sz w:val="22"/>
          <w:szCs w:val="22"/>
          <w:lang w:eastAsia="pl-PL"/>
        </w:rPr>
        <w:t>:</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I.4) KOMUNIKACJA: </w:t>
      </w:r>
      <w:r>
        <w:rPr>
          <w:rFonts w:eastAsia="Times New Roman"/>
          <w:color w:val="000000"/>
          <w:sz w:val="22"/>
          <w:szCs w:val="22"/>
          <w:lang w:eastAsia="pl-PL"/>
        </w:rPr>
        <w:br/>
      </w:r>
      <w:r>
        <w:rPr>
          <w:rFonts w:eastAsia="Times New Roman"/>
          <w:b/>
          <w:bCs/>
          <w:color w:val="000000"/>
          <w:sz w:val="22"/>
          <w:szCs w:val="22"/>
          <w:lang w:eastAsia="pl-PL"/>
        </w:rPr>
        <w:t>Nieograniczony, pełny i bezpośredni dostęp do dokumentów z postępowania można uzyskać pod adresem (URL)</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tak </w:t>
        <w:br/>
        <w:t>bip.starebogaczowice.ug.gov.pl</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Adres strony internetowej, na której zamieszczona będzie specyfikacja istotnych warunków zamówienia</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tak </w:t>
        <w:br/>
        <w:t>bip.starebogaczowice.ug.gov.pl</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Dostęp do dokumentów z postępowania jest ograniczony - więcej informacji można uzyskać pod adresem</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Oferty lub wnioski o dopuszczenie do udziału w postępowaniu należy przesyłać:</w:t>
      </w:r>
      <w:r>
        <w:rPr>
          <w:rFonts w:eastAsia="Times New Roman"/>
          <w:color w:val="000000"/>
          <w:sz w:val="22"/>
          <w:szCs w:val="22"/>
          <w:lang w:eastAsia="pl-PL"/>
        </w:rPr>
        <w:br/>
      </w:r>
      <w:r>
        <w:rPr>
          <w:rFonts w:eastAsia="Times New Roman"/>
          <w:b/>
          <w:bCs/>
          <w:color w:val="000000"/>
          <w:sz w:val="22"/>
          <w:szCs w:val="22"/>
          <w:lang w:eastAsia="pl-PL"/>
        </w:rPr>
        <w:t>Elektronicznie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 </w:t>
        <w:br/>
        <w:t>adres </w:t>
      </w:r>
    </w:p>
    <w:p>
      <w:pPr>
        <w:pStyle w:val="Normal"/>
        <w:spacing w:lineRule="atLeast" w:line="450" w:before="0" w:after="0"/>
        <w:rPr>
          <w:rFonts w:eastAsia="Times New Roman"/>
          <w:color w:val="000000"/>
          <w:sz w:val="22"/>
          <w:szCs w:val="22"/>
          <w:lang w:eastAsia="pl-PL"/>
        </w:rPr>
      </w:pPr>
      <w:r>
        <w:rPr>
          <w:rFonts w:eastAsia="Times New Roman"/>
          <w:color w:val="000000"/>
          <w:sz w:val="22"/>
          <w:szCs w:val="22"/>
          <w:lang w:eastAsia="pl-PL"/>
        </w:rPr>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Dopuszczone jest przesłanie ofert lub wniosków o dopuszczenie do udziału w postępowaniu w inny sposób:</w:t>
      </w:r>
      <w:r>
        <w:rPr>
          <w:rFonts w:eastAsia="Times New Roman"/>
          <w:color w:val="000000"/>
          <w:sz w:val="22"/>
          <w:szCs w:val="22"/>
          <w:lang w:eastAsia="pl-PL"/>
        </w:rPr>
        <w:br/>
        <w:t>nie </w:t>
        <w:br/>
      </w:r>
      <w:r>
        <w:rPr>
          <w:rFonts w:eastAsia="Times New Roman"/>
          <w:b/>
          <w:bCs/>
          <w:color w:val="000000"/>
          <w:sz w:val="22"/>
          <w:szCs w:val="22"/>
          <w:lang w:eastAsia="pl-PL"/>
        </w:rPr>
        <w:t>Wymagane jest przesłanie ofert lub wniosków o dopuszczenie do udziału w postępowaniu w inny sposób:</w:t>
      </w:r>
      <w:r>
        <w:rPr>
          <w:rFonts w:eastAsia="Times New Roman"/>
          <w:color w:val="000000"/>
          <w:sz w:val="22"/>
          <w:szCs w:val="22"/>
          <w:lang w:eastAsia="pl-PL"/>
        </w:rPr>
        <w:br/>
        <w:t>tak </w:t>
        <w:br/>
        <w:t>Inny sposób: </w:t>
        <w:br/>
        <w:t>forma pisemna</w:t>
        <w:br/>
        <w:t>Adres: </w:t>
        <w:br/>
        <w:t>Urząd Gminy Stare Bogaczowice , ul. Główna 132, 58-312 Stare Bogaczowice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Komunikacja elektroniczna wymaga korzystania z narzędzi i urządzeń lub formatów plików, które nie są ogólnie dostępne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 </w:t>
        <w:br/>
        <w:t>Nieograniczony, pełny, bezpośredni i bezpłatny dostęp do tych narzędzi można uzyskać pod adresem: (URL) </w:t>
      </w:r>
    </w:p>
    <w:p>
      <w:pPr>
        <w:pStyle w:val="Normal"/>
        <w:spacing w:lineRule="atLeast" w:line="450" w:before="0" w:after="0"/>
        <w:rPr>
          <w:rFonts w:eastAsia="Times New Roman"/>
          <w:b/>
          <w:b/>
          <w:bCs/>
          <w:color w:val="000000"/>
          <w:sz w:val="27"/>
          <w:szCs w:val="27"/>
          <w:lang w:eastAsia="pl-PL"/>
        </w:rPr>
      </w:pPr>
      <w:r>
        <w:rPr>
          <w:rFonts w:eastAsia="Times New Roman"/>
          <w:b/>
          <w:bCs/>
          <w:color w:val="000000"/>
          <w:sz w:val="22"/>
          <w:szCs w:val="22"/>
          <w:u w:val="single"/>
          <w:lang w:eastAsia="pl-PL"/>
        </w:rPr>
        <w:t>SEKCJA II: PRZEDMIOT ZAMÓWIENIA</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II.1) Nazwa nadana zamówieniu przez zamawiającego: </w:t>
      </w:r>
      <w:r>
        <w:rPr>
          <w:rFonts w:eastAsia="Times New Roman"/>
          <w:color w:val="000000"/>
          <w:sz w:val="22"/>
          <w:szCs w:val="22"/>
          <w:lang w:eastAsia="pl-PL"/>
        </w:rPr>
        <w:t>Odbudowa zniszczonego mostu w drodze nr geod. 421 w Jabłowie wraz z odbudową drogi gminnej nr geod. 421 w Jabłowie 0+005 do 0+225 [Intensywne opady deszczu czerwiec 2013 r.] </w:t>
        <w:br/>
      </w:r>
      <w:r>
        <w:rPr>
          <w:rFonts w:eastAsia="Times New Roman"/>
          <w:b/>
          <w:bCs/>
          <w:color w:val="000000"/>
          <w:sz w:val="22"/>
          <w:szCs w:val="22"/>
          <w:lang w:eastAsia="pl-PL"/>
        </w:rPr>
        <w:t>Numer referencyjny: </w:t>
      </w:r>
      <w:r>
        <w:rPr>
          <w:rFonts w:eastAsia="Times New Roman"/>
          <w:color w:val="000000"/>
          <w:sz w:val="22"/>
          <w:szCs w:val="22"/>
          <w:lang w:eastAsia="pl-PL"/>
        </w:rPr>
        <w:t>RIG.271.03.2016</w:t>
        <w:br/>
      </w:r>
      <w:r>
        <w:rPr>
          <w:rFonts w:eastAsia="Times New Roman"/>
          <w:b/>
          <w:bCs/>
          <w:color w:val="000000"/>
          <w:sz w:val="22"/>
          <w:szCs w:val="22"/>
          <w:lang w:eastAsia="pl-PL"/>
        </w:rPr>
        <w:t>Przed wszczęciem postępowania o udzielenie zamówienia przeprowadzono dialog techniczny </w:t>
      </w:r>
    </w:p>
    <w:p>
      <w:pPr>
        <w:pStyle w:val="Normal"/>
        <w:spacing w:lineRule="atLeast" w:line="450" w:before="0" w:after="0"/>
        <w:jc w:val="both"/>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II.2) Rodzaj zamówienia: </w:t>
      </w:r>
      <w:r>
        <w:rPr>
          <w:rFonts w:eastAsia="Times New Roman"/>
          <w:color w:val="000000"/>
          <w:sz w:val="22"/>
          <w:szCs w:val="22"/>
          <w:lang w:eastAsia="pl-PL"/>
        </w:rPr>
        <w:t>roboty budowlane </w:t>
        <w:br/>
      </w:r>
      <w:r>
        <w:rPr>
          <w:rFonts w:eastAsia="Times New Roman"/>
          <w:b/>
          <w:bCs/>
          <w:color w:val="000000"/>
          <w:sz w:val="22"/>
          <w:szCs w:val="22"/>
          <w:lang w:eastAsia="pl-PL"/>
        </w:rPr>
        <w:t>II.3) Informacja o możliwości składania ofert częściowych</w:t>
      </w:r>
      <w:r>
        <w:rPr>
          <w:rFonts w:eastAsia="Times New Roman"/>
          <w:color w:val="000000"/>
          <w:sz w:val="22"/>
          <w:szCs w:val="22"/>
          <w:lang w:eastAsia="pl-PL"/>
        </w:rPr>
        <w:br/>
        <w:t>Zamówienie podzielone jest na części: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br/>
      </w:r>
      <w:r>
        <w:rPr>
          <w:rFonts w:eastAsia="Times New Roman"/>
          <w:b/>
          <w:bCs/>
          <w:color w:val="000000"/>
          <w:sz w:val="22"/>
          <w:szCs w:val="22"/>
          <w:lang w:eastAsia="pl-PL"/>
        </w:rPr>
        <w:t>II.4) Krótki opis przedmiotu zamówienia </w:t>
      </w:r>
      <w:r>
        <w:rPr>
          <w:rFonts w:eastAsia="Times New Roman"/>
          <w:i/>
          <w:iCs/>
          <w:color w:val="000000"/>
          <w:sz w:val="22"/>
          <w:szCs w:val="22"/>
          <w:lang w:eastAsia="pl-PL"/>
        </w:rPr>
        <w:t>(wielkość, zakres, rodzaj i ilość dostaw, usług lub robót budowlanych lub określenie zapotrzebowania i wymagań )</w:t>
      </w:r>
      <w:r>
        <w:rPr>
          <w:rFonts w:eastAsia="Times New Roman"/>
          <w:b/>
          <w:bCs/>
          <w:color w:val="000000"/>
          <w:sz w:val="22"/>
          <w:szCs w:val="22"/>
          <w:lang w:eastAsia="pl-PL"/>
        </w:rPr>
        <w:t> a w przypadku partnerstwa innowacyjnego - określenie zapotrzebowania na innowacyjny produkt, usługę lub roboty budowlane: </w:t>
      </w:r>
      <w:r>
        <w:rPr>
          <w:rFonts w:eastAsia="Times New Roman"/>
          <w:color w:val="000000"/>
          <w:sz w:val="22"/>
          <w:szCs w:val="22"/>
          <w:lang w:eastAsia="pl-PL"/>
        </w:rPr>
        <w:t>Przedmiotem zamówienia są roboty budowlane polegające na realizacji zadania pn.: „ Odbudowa zniszczonego mostu w drodze nr geod. 421 w Jabłowie wraz z odbudową drogi gminnej nr geod. 421 w Jabłowie 0+005 do 0+225 [Intensywne opady deszczu czerwiec 2013 r.]” 2. W ramach planowanych robót budowlanych projektuje się wykonać: 1. Uzupełnienie ubytków w konstrukcji kamiennej przyczółków 2. Wykonanie prac naprawczych polegających na zabezpieczeniu antykorozyjnym odkrytych bocznych powierzchni betonowych i spodu istniejącej płyty materiałami typu PCC 3. Wykonanie żelbetowej płyty wyrównawczej kotwionej do istniejącej płyty pomostowej 4. Wykonanie izolacji termozgrzewalnej z papy mostowej zgrzewalnej modyfikowanej SBS. 5. Wykonanie nowej nawierzchni- podbudowa z kruszywa i warstwy nawierzchni bitumicznej: - warstwa ścieralna AC 11 S grubości 40 mm, -warstwa wiążąca (ochronna) MA 11 grubości 40 mm. 6. Wykonanie balustrady stalowej szczelinowej z płaskowników i profili zamkniętych (WZDP) - 7. Odtworzenie jezdni w planie, w zakresie niezbędnym do wykonania odbudowy mostu 8. Wzmocnienie istniejących poboczy gruntowych drogi poprzez: 9. Ścinkę zawyżonych poboczy gruntowych oraz umocnienie ich powierzchni mieszanką mineralno– kamienną (0/31,5mm) – na szerokości 0,5m; 10. Roboty ziemne i rozbiórkowe </w:t>
        <w:br/>
        <w:br/>
      </w:r>
      <w:r>
        <w:rPr>
          <w:rFonts w:eastAsia="Times New Roman"/>
          <w:b/>
          <w:bCs/>
          <w:color w:val="000000"/>
          <w:sz w:val="22"/>
          <w:szCs w:val="22"/>
          <w:lang w:eastAsia="pl-PL"/>
        </w:rPr>
        <w:t>II.5) Główny kod CPV: </w:t>
      </w:r>
      <w:r>
        <w:rPr>
          <w:rFonts w:eastAsia="Times New Roman"/>
          <w:color w:val="000000"/>
          <w:sz w:val="22"/>
          <w:szCs w:val="22"/>
          <w:lang w:eastAsia="pl-PL"/>
        </w:rPr>
        <w:t>45000000-7</w:t>
        <w:br/>
        <w:br/>
      </w:r>
      <w:r>
        <w:rPr>
          <w:rFonts w:eastAsia="Times New Roman"/>
          <w:b/>
          <w:bCs/>
          <w:color w:val="000000"/>
          <w:sz w:val="22"/>
          <w:szCs w:val="22"/>
          <w:lang w:eastAsia="pl-PL"/>
        </w:rPr>
        <w:t>II.6) Całkowita wartość zamówienia </w:t>
      </w:r>
      <w:r>
        <w:rPr>
          <w:rFonts w:eastAsia="Times New Roman"/>
          <w:i/>
          <w:iCs/>
          <w:color w:val="000000"/>
          <w:sz w:val="22"/>
          <w:szCs w:val="22"/>
          <w:lang w:eastAsia="pl-PL"/>
        </w:rPr>
        <w:t>(jeżeli zamawiający podaje informacje o wartości zamówienia)</w:t>
      </w:r>
      <w:r>
        <w:rPr>
          <w:rFonts w:eastAsia="Times New Roman"/>
          <w:color w:val="000000"/>
          <w:sz w:val="22"/>
          <w:szCs w:val="22"/>
          <w:lang w:eastAsia="pl-PL"/>
        </w:rPr>
        <w:t>: </w:t>
        <w:br/>
        <w:t>Wartość bez VAT: </w:t>
        <w:br/>
        <w:t>Waluta: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i/>
          <w:iCs/>
          <w:color w:val="000000"/>
          <w:sz w:val="22"/>
          <w:szCs w:val="22"/>
          <w:lang w:eastAsia="pl-PL"/>
        </w:rPr>
        <w:t>(w przypadku umów ramowych lub dynamicznego systemu zakupów – szacunkowa całkowita maksymalna wartość w całym okresie obowiązywania umowy ramowej lub dynamicznego systemu zakupów)</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II.7) Czy przewiduje się udzielenie zamówień, o których mowa w art. 67 ust. 1 pkt 6 i 7 lub w art. 134 ust. 6 pkt 3 ustawy Pzp: </w:t>
      </w:r>
      <w:r>
        <w:rPr>
          <w:rFonts w:eastAsia="Times New Roman"/>
          <w:color w:val="000000"/>
          <w:sz w:val="22"/>
          <w:szCs w:val="22"/>
          <w:lang w:eastAsia="pl-PL"/>
        </w:rPr>
        <w:t>nie </w:t>
        <w:br/>
      </w:r>
      <w:r>
        <w:rPr>
          <w:rFonts w:eastAsia="Times New Roman"/>
          <w:b/>
          <w:bCs/>
          <w:color w:val="000000"/>
          <w:sz w:val="22"/>
          <w:szCs w:val="22"/>
          <w:lang w:eastAsia="pl-PL"/>
        </w:rPr>
        <w:t>II.8) Okres, w którym realizowane będzie zamówienie lub okres, na który została zawarta umowa ramowa lub okres, na który został ustanowiony dynamiczny system zakupów:</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data zakończenia: 08/12/2016</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II.9) Informacje dodatkowe: </w:t>
      </w:r>
      <w:r>
        <w:rPr>
          <w:rFonts w:eastAsia="Times New Roman"/>
          <w:color w:val="000000"/>
          <w:sz w:val="22"/>
          <w:szCs w:val="22"/>
          <w:lang w:eastAsia="pl-PL"/>
        </w:rPr>
        <w:t>Szczegółowy opis robót budowlanych według dokumentacji projektowej opracowanej przez jednostkę projektową: SACHS-BUD Renata Sachs, ul. Karola Miarki 9, 58-100 Świdnica.</w:t>
      </w:r>
    </w:p>
    <w:p>
      <w:pPr>
        <w:pStyle w:val="Normal"/>
        <w:spacing w:lineRule="atLeast" w:line="450" w:before="0" w:after="0"/>
        <w:rPr>
          <w:rFonts w:eastAsia="Times New Roman"/>
          <w:b/>
          <w:b/>
          <w:bCs/>
          <w:color w:val="000000"/>
          <w:sz w:val="27"/>
          <w:szCs w:val="27"/>
          <w:lang w:eastAsia="pl-PL"/>
        </w:rPr>
      </w:pPr>
      <w:r>
        <w:rPr>
          <w:rFonts w:eastAsia="Times New Roman"/>
          <w:b/>
          <w:bCs/>
          <w:color w:val="000000"/>
          <w:sz w:val="22"/>
          <w:szCs w:val="22"/>
          <w:u w:val="single"/>
          <w:lang w:eastAsia="pl-PL"/>
        </w:rPr>
        <w:t>SEKCJA III: INFORMACJE O CHARAKTERZE PRAWNYM, EKONOMICZNYM, FINANSOWYM I TECHNICZNYM</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III.1) WARUNKI UDZIAŁU W POSTĘPOWANIU </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III.1.1) Kompetencje lub uprawnienia do prowadzenia określonej działalności zawodowej, o ile wynika to z odrębnych przepisów</w:t>
      </w:r>
      <w:r>
        <w:rPr>
          <w:rFonts w:eastAsia="Times New Roman"/>
          <w:color w:val="000000"/>
          <w:sz w:val="22"/>
          <w:szCs w:val="22"/>
          <w:lang w:eastAsia="pl-PL"/>
        </w:rPr>
        <w:br/>
        <w:t>Określenie warunków: Zamawiający nie stawia wymagań w tym zakresie. Warunek zostanie spełniony poprzez złożenie oświadczenia o spełnieniu warunków udziału.</w:t>
        <w:br/>
        <w:t>Informacje dodatkowe </w:t>
        <w:br/>
      </w:r>
      <w:r>
        <w:rPr>
          <w:rFonts w:eastAsia="Times New Roman"/>
          <w:b/>
          <w:bCs/>
          <w:color w:val="000000"/>
          <w:sz w:val="22"/>
          <w:szCs w:val="22"/>
          <w:lang w:eastAsia="pl-PL"/>
        </w:rPr>
        <w:t>III.1.2) Sytuacja finansowa lub ekonomiczna </w:t>
      </w:r>
      <w:r>
        <w:rPr>
          <w:rFonts w:eastAsia="Times New Roman"/>
          <w:color w:val="000000"/>
          <w:sz w:val="22"/>
          <w:szCs w:val="22"/>
          <w:lang w:eastAsia="pl-PL"/>
        </w:rPr>
        <w:br/>
        <w:t>Określenie warunków: Zamawiający wymaga, aby Wykonawca posiadał ubezpieczenie od odpowiedzialności cywilnej na kwotę minimum 150 000,00 zł.</w:t>
        <w:br/>
        <w:t>Informacje dodatkowe </w:t>
        <w:br/>
      </w:r>
      <w:r>
        <w:rPr>
          <w:rFonts w:eastAsia="Times New Roman"/>
          <w:b/>
          <w:bCs/>
          <w:color w:val="000000"/>
          <w:sz w:val="22"/>
          <w:szCs w:val="22"/>
          <w:lang w:eastAsia="pl-PL"/>
        </w:rPr>
        <w:t>III.1.3) Zdolność techniczna lub zawodowa </w:t>
      </w:r>
      <w:r>
        <w:rPr>
          <w:rFonts w:eastAsia="Times New Roman"/>
          <w:color w:val="000000"/>
          <w:sz w:val="22"/>
          <w:szCs w:val="22"/>
          <w:lang w:eastAsia="pl-PL"/>
        </w:rPr>
        <w:br/>
        <w:t>Określenie warunków: a) Doświadczenie zawodowe Zamawiający wymaga, aby Wykonawca wykazał, że wykonał należycie w okresie ostatnich pięciu lat przed upływem terminu składania ofert w postępowaniu, a jeżeli okres prowadzenia działalności jest krótszy — w tym okresie, co najmniej jedną robotą budowlaną dotyczącą mostu o charakterze podobnym do przedmiotu zamówienia oraz jedną robotę budowlaną dotyczącą drogi o charakterze podobnym do przedmiotu zamówienia, wraz z załączeniem dowodów dotyczących najważniejszych robót określających, czy roboty te zostały wykonane należycie zgodnie z przepisami prawa budowlanego i prawidłowo ukończone, o wartości całkowitej nie mniejszej niż 100 000,00 zł netto. Za robotę budowlaną dotyczącą mostu o charakterze podobnym do przedmiotu zamówienia uważa się robotę budowlaną polegającą na remoncie, budowie lub odbudowie mostu zabudowanego na cieku wodnym o nośności co najmniej 50t z jezdnią o szerokości co najmniej 3,0m z nawierzchnią bitumiczną. Za robotę budowlaną dotyczącą drogi o charakterze podobnym do przedmiotu zamówienia uważa się robotę budowlaną polegającą na remoncie, budowie lub odbudowie drogi o długości co najmniej 200m z nawierzchnią z nawierzchnią bitumiczną. Przez jedną robotę budowlaną Zamawiający rozumie robotę wykonaną na podstawie jednej umowy lub jednego zadania inwestycyjnego. b) Zamawiający wymaga, aby Wykonawca wykazał się dysponowaniem co najmniej jedną osobą posiadającą uprawnienia budowlane do kierowania robotami w specjalności drogowej w rozumieniu przepisów Rozporządzenia Ministra Infrastruktury i Rozwoju z dnia 11 września 2014 r. w sprawie samodzielnych funkcji technicznych w budownictwie (Dz. U. z 2014 r. poz. 1278). Dopuszcza się uprawnienia równoważne do powyższych wydane na podstawie wcześniej obowiązujących przepisów prawa. Minimalne doświadczenie 4 lata przy remoncie, budowie, przebudowie, odbudowie dróg na stanowisku kierownika budowy.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Dodatkowo Zamawiający wymaga zatrudnienia przez Wykonawcę lub Podwykonawców na podstawie umowy o pracę osób wykonujących czynności w zakresie realizacji zamówienia, dotyczących prac objętych przedmiotem umowy, tj.: roboty ziemne, podbudowy, nawierzchnie, elementy ulic. </w:t>
        <w:br/>
        <w:t>Zamawiający wymaga od wykonawców wskazania w ofercie lub we wniosku o dopuszczenie do udziału w postępowaniu imion i nazwisk osób wykonujących czynności przy realizacji zamówienia wraz z informacją o kwalifikacjach zawodowych lub doświadczeniu tych osób: tak </w:t>
        <w:br/>
        <w:t>Informacje dodatkowe:</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III.2) PODSTAWY WYKLUCZENIA </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III.2.1) Podstawy wykluczenia określone w art. 24 ust. 1 ustawy Pzp</w:t>
      </w:r>
      <w:r>
        <w:rPr>
          <w:rFonts w:eastAsia="Times New Roman"/>
          <w:color w:val="000000"/>
          <w:sz w:val="22"/>
          <w:szCs w:val="22"/>
          <w:lang w:eastAsia="pl-PL"/>
        </w:rPr>
        <w:br/>
      </w:r>
      <w:r>
        <w:rPr>
          <w:rFonts w:eastAsia="Times New Roman"/>
          <w:b/>
          <w:bCs/>
          <w:color w:val="000000"/>
          <w:sz w:val="22"/>
          <w:szCs w:val="22"/>
          <w:lang w:eastAsia="pl-PL"/>
        </w:rPr>
        <w:t>III.2.2) Zamawiający przewiduje wykluczenie wykonawcy na podstawie art. 24 ust. 5 ustawy Pzp</w:t>
      </w:r>
      <w:r>
        <w:rPr>
          <w:rFonts w:eastAsia="Times New Roman"/>
          <w:color w:val="000000"/>
          <w:sz w:val="22"/>
          <w:szCs w:val="22"/>
          <w:lang w:eastAsia="pl-PL"/>
        </w:rPr>
        <w:t> tak </w:t>
        <w:br/>
        <w:t>Zamawiający przewiduje następujące fakultatywne podstawy wykluczenia: </w:t>
        <w:br/>
        <w:t>(podstawa wykluczenia określona w art. 24 ust. 5 pkt 1 ustawy Pzp) </w:t>
        <w:br/>
        <w:t>(podstawa wykluczenia określona w art. 24 ust. 5 pkt 8 ustawy Pzp) </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III.3) WYKAZ OŚWIADCZEŃ SKŁADANYCH PRZEZ WYKONAWCĘ W CELU WSTĘPNEGO POTWIERDZENIA, ŻE NIE PODLEGA ON WYKLUCZENIU ORAZ SPEŁNIA WARUNKI UDZIAŁU W POSTĘPOWANIU ORAZ SPEŁNIA KRYTERIA SELEKCJI </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Oświadczenie o niepodleganiu wykluczeniu oraz spełnianiu warunków udziału w postępowaniu </w:t>
      </w:r>
      <w:r>
        <w:rPr>
          <w:rFonts w:eastAsia="Times New Roman"/>
          <w:color w:val="000000"/>
          <w:sz w:val="22"/>
          <w:szCs w:val="22"/>
          <w:lang w:eastAsia="pl-PL"/>
        </w:rPr>
        <w:br/>
        <w:t>tak </w:t>
        <w:br/>
      </w:r>
      <w:r>
        <w:rPr>
          <w:rFonts w:eastAsia="Times New Roman"/>
          <w:b/>
          <w:bCs/>
          <w:color w:val="000000"/>
          <w:sz w:val="22"/>
          <w:szCs w:val="22"/>
          <w:lang w:eastAsia="pl-PL"/>
        </w:rPr>
        <w:t>Oświadczenie o spełnianiu kryteriów selekcji </w:t>
      </w:r>
      <w:r>
        <w:rPr>
          <w:rFonts w:eastAsia="Times New Roman"/>
          <w:color w:val="000000"/>
          <w:sz w:val="22"/>
          <w:szCs w:val="22"/>
          <w:lang w:eastAsia="pl-PL"/>
        </w:rPr>
        <w:br/>
        <w:t>nie</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III.4) WYKAZ OŚWIADCZEŃ LUB DOKUMENTÓW , SKŁADANYCH PRZEZ WYKONAWCĘ W POSTĘPOWANIU NA WEZWANIE ZAMAWIAJACEGO W CELU POTWIERDZENIA OKOLICZNOŚCI, O KTÓRYCH MOWA W ART. 25 UST. 1 PKT 3 USTAWY PZP: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1) Aktualny odpis z właściwego rejestru lub z centralnej ewidencji i informacji o działalności gospodarczej, jeżeli odrębne przepisy wymagają wpisu do rejestru lub ewidencji, w celu potwierdzenia braku podstaw wykluczenia na podstawie art. 24 ust. 5 pkt I ustawy, wystawiony nie wcześniej niż 6 miesięcy przed upływem terminu składania ofert; 2) Aktualne zaświadczenie właściwego naczelnika urzędu skarbowego potwierdzające, że wykonawca nie zalega z opłacaniem podatków, wystawione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Aktualne zaświadczenie właściwego oddziału Zakładu Ubezpieczeń Społecznych lub Kasy Rolniczego Ubezpieczenia Społecznego albo inny dokument potwierdzający, że wykonawca nie zalega z opłacaniem składek na ubezpieczenia społeczne lub zdrowotne, wystawione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III.5) WYKAZ OŚWIADCZEŃ LUB DOKUMENTÓW SKŁADANYCH PRZEZ WYKONAWCĘ W POSTĘPOWANIU NA WEZWANIE ZAMAWIAJACEGO W CELU POTWIERDZENIA OKOLICZNOŚCI, O KTÓRYCH MOWA W ART. 25 UST. 1 PKT 1 USTAWY PZP </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III.5.1) W ZAKRESIE SPEŁNIANIA WARUNKÓW UDZIAŁU W POSTĘPOWANIU:</w:t>
      </w:r>
      <w:r>
        <w:rPr>
          <w:rFonts w:eastAsia="Times New Roman"/>
          <w:color w:val="000000"/>
          <w:sz w:val="22"/>
          <w:szCs w:val="22"/>
          <w:lang w:eastAsia="pl-PL"/>
        </w:rPr>
        <w:br/>
        <w:t>4) Dokument potwierdzający, że Wykonawca jest ubezpieczony od odpowiedzialności cywilnej w zakresie prowadzonej działalności związanej z przedmiotem zamówienia na sumę gwarancyjną minimum 150 000,00 zł, 5) Dowody potwierdzające, że roboty budowlane wskazane w ofercie zostały wykonane należycie, w szczególności informacje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6) Kosztorys ofertowy (sporządzony na podstawie przedmiaru robót), 7) Wykaz osób zatrudnionych przez Wykonawcę na podstawie umowy o pracę, wykonujących czynności w zakresie realizacji przedmiotu zamówienia, jeżeli wykonanie tych czynności polega na wykonywaniu pracy w sposób określony w art. 22 §1 ustawy z dnia 26 czerwca 1974 r. — Kodeks pracy. Wykonawca zobowiązany będzie, najpóźniej w dniu podpisania umowy, przedstawić potwierdzone za zgodność z oryginałem kopie umów o pracę osób wskazanych w wykazie. 8) Wykonawca wyłoniony w niniejszym postępowaniu, przed podpisaniem umowy, zobowiązany będzie do przedłożenia kopii dokumentów potwierdzających uprawnienia kierownika budowy. 9) Wykaz części zamówienia, których realizację Wykonawca zamierza powierzyć podwykonawcom (o ile dotyczy). </w:t>
        <w:br/>
      </w:r>
      <w:r>
        <w:rPr>
          <w:rFonts w:eastAsia="Times New Roman"/>
          <w:b/>
          <w:bCs/>
          <w:color w:val="000000"/>
          <w:sz w:val="22"/>
          <w:szCs w:val="22"/>
          <w:lang w:eastAsia="pl-PL"/>
        </w:rPr>
        <w:t>III.5.2) W ZAKRESIE KRYTERIÓW SELEKCJI:</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III.6) WYKAZ OŚWIADCZEŃ LUB DOKUMENTÓW SKŁADANYCH PRZEZ WYKONAWCĘ W POSTĘPOWANIU NA WEZWANIE ZAMAWIAJACEGO W CELU POTWIERDZENIA OKOLICZNOŚCI, O KTÓRYCH MOWA W ART. 25 UST. 1 PKT 2 USTAWY PZP </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III.7) INNE DOKUMENTY NIE WYMIENIONE W pkt III.3) - III.6)</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1)Formularz oferty (załącznik 1 do SIWZ) 2)Oświadczenia (załączniki 2-3 do SIWZ) 3)Dowód wniesienia wadium</w:t>
      </w:r>
    </w:p>
    <w:p>
      <w:pPr>
        <w:pStyle w:val="Normal"/>
        <w:spacing w:lineRule="atLeast" w:line="450" w:before="0" w:after="0"/>
        <w:rPr>
          <w:rFonts w:eastAsia="Times New Roman"/>
          <w:b/>
          <w:b/>
          <w:bCs/>
          <w:color w:val="000000"/>
          <w:sz w:val="27"/>
          <w:szCs w:val="27"/>
          <w:lang w:eastAsia="pl-PL"/>
        </w:rPr>
      </w:pPr>
      <w:r>
        <w:rPr>
          <w:rFonts w:eastAsia="Times New Roman"/>
          <w:b/>
          <w:bCs/>
          <w:color w:val="000000"/>
          <w:sz w:val="22"/>
          <w:szCs w:val="22"/>
          <w:u w:val="single"/>
          <w:lang w:eastAsia="pl-PL"/>
        </w:rPr>
        <w:t>SEKCJA IV: PROCEDURA</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IV.1) OPIS </w:t>
      </w:r>
      <w:r>
        <w:rPr>
          <w:rFonts w:eastAsia="Times New Roman"/>
          <w:color w:val="000000"/>
          <w:sz w:val="22"/>
          <w:szCs w:val="22"/>
          <w:lang w:eastAsia="pl-PL"/>
        </w:rPr>
        <w:br/>
      </w:r>
      <w:r>
        <w:rPr>
          <w:rFonts w:eastAsia="Times New Roman"/>
          <w:b/>
          <w:bCs/>
          <w:color w:val="000000"/>
          <w:sz w:val="22"/>
          <w:szCs w:val="22"/>
          <w:lang w:eastAsia="pl-PL"/>
        </w:rPr>
        <w:t>IV.1.1) Tryb udzielenia zamówienia: </w:t>
      </w:r>
      <w:r>
        <w:rPr>
          <w:rFonts w:eastAsia="Times New Roman"/>
          <w:color w:val="000000"/>
          <w:sz w:val="22"/>
          <w:szCs w:val="22"/>
          <w:lang w:eastAsia="pl-PL"/>
        </w:rPr>
        <w:t>przetarg nieograniczony </w:t>
        <w:br/>
      </w:r>
      <w:r>
        <w:rPr>
          <w:rFonts w:eastAsia="Times New Roman"/>
          <w:b/>
          <w:bCs/>
          <w:color w:val="000000"/>
          <w:sz w:val="22"/>
          <w:szCs w:val="22"/>
          <w:lang w:eastAsia="pl-PL"/>
        </w:rPr>
        <w:t>IV.1.2) Zamawiający żąda wniesienia wadium:</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tak, </w:t>
        <w:br/>
        <w:t>Informacja na temat wadium </w:t>
        <w:br/>
        <w:t>1. Przystępując do postępowania Wykonawca zobowiązany jest wnieść wadium przetargowe w wysokości 2 000,00 zł (słownie: dwa tysiące zł 00/100). Wadium należy wnieść przed upływem terminu składania ofert. 2. Wadium może być wnoszone w pieniądzu, poręczeniach bankowych lub poręczeniach spółdzielczej kasy oszczędnościowo — 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(Dz. U. z 2007 r., Nr 42, poz. 275 z późn. zm.). Wadium wnoszone w pieniądzu należy wpłacić przelewem na konto depozytowe w : BGŻ O/WAŁBRZYCH nr konta: 32 2030 0045 1110 0000 0087 7670 przelewem z zaznaczeniem: wadium przetargowe: „Odbudowa zniszczonego mostu w drodze nr geod. 421 w Jabłowie wraz z odbudową drogi gminnej nr geod. 421 w Jabłowie 0+005 do 0+225, [Intensywne opady deszczu czerwiec 2013 r.]” 3. Za termin wniesienia wadium w formie pieniężnej przyjmuje się termin uznania rachunku bankowego Zamawiającego. W przypadku wnoszenia wadium w pieniądzu, Zamawiający zaleca dokonanie wpłaty na rachunek bankowy minimum dwa dni robocze przed terminem składania ofert, aby kwota wadium została zaksięgowana na rachunku Zamawiającego przed datą i godziną złożenia oferty.W przypadku wniesienia wadium przetargowego w innej formie niż pieniężna oryginał dokumentu potwierdzającego wniesienie wadium należy złożyć wraz z ofertą w kopercie, jednakże dokumentu nie należy spinać trwale z ofertą. 4. Wadium musi zabezpieczać złożoną ofertę przez cały okres związania ofertą tj. 30 dni, licząc od dnia upływu terminu składania ofert. 5. Do oferty należy załączyć kopię potwierdzoną za zgodność z oryginałem dowodu wniesienia wadium. 6. Zamawiający zwraca wadium wszystkim Wykonawcom niezwłocznie po wyborze oferty najkorzystniejszej lub unieważnieniu postępowania, z wyjątkiem Wykonawcy, którego oferta została wybrana, jako najkorzystniejsza. 7. Wykonawcy, którego oferta została wybrana jako najkorzystniejsza, Zamawiający zwraca wadium niezwłocznie po zawarciu umowy w sprawie zamówienia publicznego oraz wniesieniu zabezpieczenia należytego wykonania umowy. 8. Zamawiający zwraca wadium, na wniosek Wykonawcy, który wycofał ofertę przed upływem terminu składania ofert. 9. Zamawiający zatrzymuje wadium wraz z odsetkami, jeżeli Wykonawca, którego oferta została wybrana: 1) odmówi podpisania umowy w sprawie zamówienia publicznego na warunkach określonych w ofercie, 2) nie wniósł wymaganego zabezpieczenia należytego wykonania umowy, 3) zawarcie umowy w sprawie zamówienia publicznego stało się niemożliwe z przyczyn leżących po stronie Wykonawcy, 4) w odpowiedzi na wezwanie, o którym mowa w art. 26 ust. 3 i 3a ustawy Pzp, z przyczyn leżących po jego stronie, nie złożył oświadczeń lub dokumentów potwierdzających okoliczności, o których mowa w art. 25 ust. 1 Pzp, oświadczenia, o którym mowa w art. 25a ust. 1, pełnomocnictw lub nie wyraził zgody na poprawienie omyłki, o której mowa w art. 87 ust. 2 pkt 3, co spowodowało brak możliwości wybrania oferty złożonej przez Wykonawcę jako najkorzystniejszej.</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IV.1.3) Przewiduje się udzielenie zaliczek na poczet wykonania zamówienia:</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IV.1.4) Wymaga się złożenia ofert w postaci katalogów elektronicznych lub dołączenia do ofert katalogów elektronicznych:</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 </w:t>
        <w:br/>
        <w:t>Dopuszcza się złożenie ofert w postaci katalogów elektronicznych lub dołączenia do ofert katalogów elektronicznych: </w:t>
        <w:br/>
        <w:t>nie </w:t>
        <w:br/>
        <w:t>Informacje dodatkowe: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IV.1.5.) Wymaga się złożenia oferty wariantowej:</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nie </w:t>
        <w:br/>
        <w:t>Dopuszcza się złożenie oferty wariantowej </w:t>
        <w:br/>
        <w:t>nie </w:t>
        <w:br/>
        <w:t>Złożenie oferty wariantowej dopuszcza się tylko z jednoczesnym złożeniem oferty zasadniczej: </w:t>
        <w:br/>
        <w:t>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IV.1.6) Przewidywana liczba wykonawców, którzy zostaną zaproszeni do udziału w postępowaniu </w:t>
      </w:r>
      <w:r>
        <w:rPr>
          <w:rFonts w:eastAsia="Times New Roman"/>
          <w:color w:val="000000"/>
          <w:sz w:val="22"/>
          <w:szCs w:val="22"/>
          <w:lang w:eastAsia="pl-PL"/>
        </w:rPr>
        <w:br/>
      </w:r>
      <w:r>
        <w:rPr>
          <w:rFonts w:eastAsia="Times New Roman"/>
          <w:i/>
          <w:iCs/>
          <w:color w:val="000000"/>
          <w:sz w:val="22"/>
          <w:szCs w:val="22"/>
          <w:lang w:eastAsia="pl-PL"/>
        </w:rPr>
        <w:t>(przetarg ograniczony, negocjacje z ogłoszeniem, dialog konkurencyjny, partnerstwo innowacyjne)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Liczba wykonawców  </w:t>
        <w:br/>
        <w:t>Przewidywana minimalna liczba wykonawców </w:t>
        <w:br/>
        <w:t>Maksymalna liczba wykonawców  </w:t>
        <w:br/>
        <w:t>Kryteria selekcji wykonawców: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IV.1.7) Informacje na temat umowy ramowej lub dynamicznego systemu zakupów:</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Umowa ramowa będzie zawarta: </w:t>
        <w:br/>
        <w:br/>
        <w:t>Czy przewiduje się ograniczenie liczby uczestników umowy ramowej: </w:t>
        <w:br/>
        <w:t>nie </w:t>
        <w:br/>
        <w:t>Informacje dodatkowe: </w:t>
        <w:br/>
        <w:br/>
        <w:t>Zamówienie obejmuje ustanowienie dynamicznego systemu zakupów: </w:t>
        <w:br/>
        <w:t>nie </w:t>
        <w:br/>
        <w:t>Informacje dodatkowe: </w:t>
        <w:br/>
        <w:br/>
        <w:t>W ramach umowy ramowej/dynamicznego systemu zakupów dopuszcza się złożenie ofert w formie katalogów elektronicznych: </w:t>
        <w:br/>
        <w:t>nie </w:t>
        <w:br/>
        <w:t>Przewiduje się pobranie ze złożonych katalogów elektronicznych informacji potrzebnych do sporządzenia ofert w ramach umowy ramowej/dynamicznego systemu zakupów: </w:t>
        <w:br/>
        <w:t>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IV.1.8) Aukcja elektroniczna </w:t>
      </w:r>
      <w:r>
        <w:rPr>
          <w:rFonts w:eastAsia="Times New Roman"/>
          <w:color w:val="000000"/>
          <w:sz w:val="22"/>
          <w:szCs w:val="22"/>
          <w:lang w:eastAsia="pl-PL"/>
        </w:rPr>
        <w:br/>
      </w:r>
      <w:r>
        <w:rPr>
          <w:rFonts w:eastAsia="Times New Roman"/>
          <w:b/>
          <w:bCs/>
          <w:color w:val="000000"/>
          <w:sz w:val="22"/>
          <w:szCs w:val="22"/>
          <w:lang w:eastAsia="pl-PL"/>
        </w:rPr>
        <w:t>Przewidziane jest przeprowadzenie aukcji elektronicznej </w:t>
      </w:r>
      <w:r>
        <w:rPr>
          <w:rFonts w:eastAsia="Times New Roman"/>
          <w:i/>
          <w:iCs/>
          <w:color w:val="000000"/>
          <w:sz w:val="22"/>
          <w:szCs w:val="22"/>
          <w:lang w:eastAsia="pl-PL"/>
        </w:rPr>
        <w:t>(przetarg nieograniczony, przetarg ograniczony, negocjacje z ogłoszeniem) </w:t>
      </w:r>
      <w:r>
        <w:rPr>
          <w:rFonts w:eastAsia="Times New Roman"/>
          <w:color w:val="000000"/>
          <w:sz w:val="22"/>
          <w:szCs w:val="22"/>
          <w:lang w:eastAsia="pl-PL"/>
        </w:rPr>
        <w:t>nie </w:t>
        <w:br/>
      </w:r>
      <w:r>
        <w:rPr>
          <w:rFonts w:eastAsia="Times New Roman"/>
          <w:b/>
          <w:bCs/>
          <w:color w:val="000000"/>
          <w:sz w:val="22"/>
          <w:szCs w:val="22"/>
          <w:lang w:eastAsia="pl-PL"/>
        </w:rPr>
        <w:t>Należy wskazać elementy, których wartości będą przedmiotem aukcji elektronicznej: </w:t>
      </w:r>
      <w:r>
        <w:rPr>
          <w:rFonts w:eastAsia="Times New Roman"/>
          <w:color w:val="000000"/>
          <w:sz w:val="22"/>
          <w:szCs w:val="22"/>
          <w:lang w:eastAsia="pl-PL"/>
        </w:rPr>
        <w:br/>
      </w:r>
      <w:r>
        <w:rPr>
          <w:rFonts w:eastAsia="Times New Roman"/>
          <w:b/>
          <w:bCs/>
          <w:color w:val="000000"/>
          <w:sz w:val="22"/>
          <w:szCs w:val="22"/>
          <w:lang w:eastAsia="pl-PL"/>
        </w:rPr>
        <w:t>Przewiduje się ograniczenia co do przedstawionych wartości, wynikające z opisu przedmiotu zamówienia:</w:t>
      </w:r>
      <w:r>
        <w:rPr>
          <w:rFonts w:eastAsia="Times New Roman"/>
          <w:color w:val="000000"/>
          <w:sz w:val="22"/>
          <w:szCs w:val="22"/>
          <w:lang w:eastAsia="pl-PL"/>
        </w:rPr>
        <w:br/>
        <w:t>nie </w:t>
        <w:br/>
        <w:t>Należy podać, które informacje zostaną udostępnione wykonawcom w trakcie aukcji elektronicznej oraz jaki będzie termin ich udostępnienia: </w:t>
        <w:br/>
        <w:t>Informacje dotyczące przebiegu aukcji elektronicznej: </w:t>
        <w:br/>
        <w:t>Jaki jest przewidziany sposób postępowania w toku aukcji elektronicznej i jakie będą warunki, na jakich wykonawcy będą mogli licytować (minimalne wysokości postąpień): </w:t>
        <w:br/>
        <w:t>Informacje dotyczące wykorzystywanego sprzętu elektronicznego, rozwiązań i specyfikacji technicznych w zakresie połączeń: </w:t>
        <w:br/>
        <w:t>Wymagania dotyczące rejestracji i identyfikacji wykonawców w aukcji elektronicznej: </w:t>
        <w:br/>
        <w:t>Informacje o liczbie etapów aukcji elektronicznej i czasie ich trwania:</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Aukcja wieloetapowa</w:t>
      </w:r>
    </w:p>
    <w:tbl>
      <w:tblPr>
        <w:tblW w:w="2583" w:type="dxa"/>
        <w:jc w:val="left"/>
        <w:tblInd w:w="0" w:type="dxa"/>
        <w:tblBorders/>
        <w:tblCellMar>
          <w:top w:w="15" w:type="dxa"/>
          <w:left w:w="15" w:type="dxa"/>
          <w:bottom w:w="15" w:type="dxa"/>
          <w:right w:w="15" w:type="dxa"/>
        </w:tblCellMar>
        <w:tblLook w:val="04a0"/>
      </w:tblPr>
      <w:tblGrid>
        <w:gridCol w:w="734"/>
        <w:gridCol w:w="1848"/>
      </w:tblGrid>
      <w:tr>
        <w:trPr/>
        <w:tc>
          <w:tcPr>
            <w:tcW w:w="734"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color w:val="00000A"/>
                <w:sz w:val="22"/>
                <w:szCs w:val="22"/>
                <w:lang w:eastAsia="pl-PL"/>
              </w:rPr>
              <w:t>etap nr</w:t>
            </w:r>
          </w:p>
        </w:tc>
        <w:tc>
          <w:tcPr>
            <w:tcW w:w="1848"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color w:val="00000A"/>
                <w:sz w:val="22"/>
                <w:szCs w:val="22"/>
                <w:lang w:eastAsia="pl-PL"/>
              </w:rPr>
              <w:t>czas trwania etapu</w:t>
            </w:r>
          </w:p>
        </w:tc>
      </w:tr>
      <w:tr>
        <w:trPr>
          <w:trHeight w:val="23" w:hRule="exact"/>
        </w:trPr>
        <w:tc>
          <w:tcPr>
            <w:tcW w:w="734" w:type="dxa"/>
            <w:tcBorders/>
            <w:shd w:fill="auto" w:val="clear"/>
            <w:vAlign w:val="center"/>
          </w:tcPr>
          <w:p>
            <w:pPr>
              <w:pStyle w:val="Normal"/>
              <w:spacing w:lineRule="auto" w:line="240" w:before="0" w:after="0"/>
              <w:rPr>
                <w:rFonts w:eastAsia="Times New Roman"/>
                <w:color w:val="00000A"/>
                <w:sz w:val="22"/>
                <w:szCs w:val="22"/>
                <w:lang w:eastAsia="pl-PL"/>
              </w:rPr>
            </w:pPr>
            <w:r>
              <w:rPr>
                <w:rFonts w:eastAsia="Times New Roman"/>
                <w:color w:val="00000A"/>
                <w:sz w:val="22"/>
                <w:szCs w:val="22"/>
                <w:lang w:eastAsia="pl-PL"/>
              </w:rPr>
            </w:r>
          </w:p>
        </w:tc>
        <w:tc>
          <w:tcPr>
            <w:tcW w:w="1848" w:type="dxa"/>
            <w:tcBorders/>
            <w:shd w:fill="auto" w:val="clear"/>
            <w:vAlign w:val="center"/>
          </w:tcPr>
          <w:p>
            <w:pPr>
              <w:pStyle w:val="Normal"/>
              <w:spacing w:lineRule="auto" w:line="240" w:before="0" w:after="0"/>
              <w:rPr>
                <w:rFonts w:eastAsia="Times New Roman"/>
                <w:color w:val="00000A"/>
                <w:sz w:val="22"/>
                <w:szCs w:val="22"/>
                <w:lang w:eastAsia="pl-PL"/>
              </w:rPr>
            </w:pPr>
            <w:r>
              <w:rPr>
                <w:rFonts w:eastAsia="Times New Roman"/>
                <w:color w:val="00000A"/>
                <w:sz w:val="22"/>
                <w:szCs w:val="22"/>
                <w:lang w:eastAsia="pl-PL"/>
              </w:rPr>
            </w:r>
          </w:p>
        </w:tc>
      </w:tr>
    </w:tbl>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t>Czy wykonawcy, którzy nie złożyli nowych postąpień, zostaną zakwalifikowani do następnego etapu: nie </w:t>
        <w:br/>
        <w:t>Warunki zamknięcia aukcji elektronicznej: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IV.2) KRYTERIA OCENY OFERT </w:t>
      </w:r>
      <w:r>
        <w:rPr>
          <w:rFonts w:eastAsia="Times New Roman"/>
          <w:color w:val="000000"/>
          <w:sz w:val="22"/>
          <w:szCs w:val="22"/>
          <w:lang w:eastAsia="pl-PL"/>
        </w:rPr>
        <w:br/>
      </w:r>
      <w:r>
        <w:rPr>
          <w:rFonts w:eastAsia="Times New Roman"/>
          <w:b/>
          <w:bCs/>
          <w:color w:val="000000"/>
          <w:sz w:val="22"/>
          <w:szCs w:val="22"/>
          <w:lang w:eastAsia="pl-PL"/>
        </w:rPr>
        <w:t>IV.2.1) Kryteria oceny ofert: </w:t>
      </w:r>
      <w:r>
        <w:rPr>
          <w:rFonts w:eastAsia="Times New Roman"/>
          <w:color w:val="000000"/>
          <w:sz w:val="22"/>
          <w:szCs w:val="22"/>
          <w:lang w:eastAsia="pl-PL"/>
        </w:rPr>
        <w:br/>
      </w:r>
      <w:r>
        <w:rPr>
          <w:rFonts w:eastAsia="Times New Roman"/>
          <w:b/>
          <w:bCs/>
          <w:color w:val="000000"/>
          <w:sz w:val="22"/>
          <w:szCs w:val="22"/>
          <w:lang w:eastAsia="pl-PL"/>
        </w:rPr>
        <w:t>IV.2.2) Kryteria</w:t>
      </w:r>
    </w:p>
    <w:tbl>
      <w:tblPr>
        <w:tblW w:w="2651" w:type="dxa"/>
        <w:jc w:val="left"/>
        <w:tblInd w:w="0" w:type="dxa"/>
        <w:tblBorders/>
        <w:tblCellMar>
          <w:top w:w="15" w:type="dxa"/>
          <w:left w:w="15" w:type="dxa"/>
          <w:bottom w:w="15" w:type="dxa"/>
          <w:right w:w="15" w:type="dxa"/>
        </w:tblCellMar>
        <w:tblLook w:val="04a0"/>
      </w:tblPr>
      <w:tblGrid>
        <w:gridCol w:w="1602"/>
        <w:gridCol w:w="1048"/>
      </w:tblGrid>
      <w:tr>
        <w:trPr/>
        <w:tc>
          <w:tcPr>
            <w:tcW w:w="1602"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i/>
                <w:iCs/>
                <w:color w:val="00000A"/>
                <w:sz w:val="22"/>
                <w:szCs w:val="22"/>
                <w:lang w:eastAsia="pl-PL"/>
              </w:rPr>
              <w:t>Kryteria</w:t>
            </w:r>
          </w:p>
        </w:tc>
        <w:tc>
          <w:tcPr>
            <w:tcW w:w="1048"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i/>
                <w:iCs/>
                <w:color w:val="00000A"/>
                <w:sz w:val="22"/>
                <w:szCs w:val="22"/>
                <w:lang w:eastAsia="pl-PL"/>
              </w:rPr>
              <w:t>Znaczenie</w:t>
            </w:r>
          </w:p>
        </w:tc>
      </w:tr>
      <w:tr>
        <w:trPr/>
        <w:tc>
          <w:tcPr>
            <w:tcW w:w="1602"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color w:val="00000A"/>
                <w:sz w:val="22"/>
                <w:szCs w:val="22"/>
                <w:lang w:eastAsia="pl-PL"/>
              </w:rPr>
              <w:t>cena</w:t>
            </w:r>
          </w:p>
        </w:tc>
        <w:tc>
          <w:tcPr>
            <w:tcW w:w="1048"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color w:val="00000A"/>
                <w:sz w:val="22"/>
                <w:szCs w:val="22"/>
                <w:lang w:eastAsia="pl-PL"/>
              </w:rPr>
              <w:t>80</w:t>
            </w:r>
          </w:p>
        </w:tc>
      </w:tr>
      <w:tr>
        <w:trPr/>
        <w:tc>
          <w:tcPr>
            <w:tcW w:w="1602"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color w:val="00000A"/>
                <w:sz w:val="22"/>
                <w:szCs w:val="22"/>
                <w:lang w:eastAsia="pl-PL"/>
              </w:rPr>
              <w:t>okres gwarancji</w:t>
            </w:r>
          </w:p>
        </w:tc>
        <w:tc>
          <w:tcPr>
            <w:tcW w:w="1048"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color w:val="00000A"/>
                <w:sz w:val="22"/>
                <w:szCs w:val="22"/>
                <w:lang w:eastAsia="pl-PL"/>
              </w:rPr>
              <w:t>20</w:t>
            </w:r>
          </w:p>
        </w:tc>
      </w:tr>
    </w:tbl>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r>
      <w:r>
        <w:rPr>
          <w:rFonts w:eastAsia="Times New Roman"/>
          <w:b/>
          <w:bCs/>
          <w:color w:val="000000"/>
          <w:sz w:val="22"/>
          <w:szCs w:val="22"/>
          <w:lang w:eastAsia="pl-PL"/>
        </w:rPr>
        <w:t>IV.2.3) Zastosowanie procedury, o której mowa w art. 24aa ust. 1 ustawy Pzp </w:t>
      </w:r>
      <w:r>
        <w:rPr>
          <w:rFonts w:eastAsia="Times New Roman"/>
          <w:color w:val="000000"/>
          <w:sz w:val="22"/>
          <w:szCs w:val="22"/>
          <w:lang w:eastAsia="pl-PL"/>
        </w:rPr>
        <w:t>(przetarg nieograniczony) </w:t>
        <w:br/>
        <w:t>nie </w:t>
        <w:br/>
      </w:r>
      <w:r>
        <w:rPr>
          <w:rFonts w:eastAsia="Times New Roman"/>
          <w:b/>
          <w:bCs/>
          <w:color w:val="000000"/>
          <w:sz w:val="22"/>
          <w:szCs w:val="22"/>
          <w:lang w:eastAsia="pl-PL"/>
        </w:rPr>
        <w:t>IV.3) Negocjacje z ogłoszeniem, dialog konkurencyjny, partnerstwo innowacyjne </w:t>
      </w:r>
      <w:r>
        <w:rPr>
          <w:rFonts w:eastAsia="Times New Roman"/>
          <w:color w:val="000000"/>
          <w:sz w:val="22"/>
          <w:szCs w:val="22"/>
          <w:lang w:eastAsia="pl-PL"/>
        </w:rPr>
        <w:br/>
      </w:r>
      <w:r>
        <w:rPr>
          <w:rFonts w:eastAsia="Times New Roman"/>
          <w:b/>
          <w:bCs/>
          <w:color w:val="000000"/>
          <w:sz w:val="22"/>
          <w:szCs w:val="22"/>
          <w:lang w:eastAsia="pl-PL"/>
        </w:rPr>
        <w:t>IV.3.1) Informacje na temat negocjacji z ogłoszeniem</w:t>
      </w:r>
      <w:r>
        <w:rPr>
          <w:rFonts w:eastAsia="Times New Roman"/>
          <w:color w:val="000000"/>
          <w:sz w:val="22"/>
          <w:szCs w:val="22"/>
          <w:lang w:eastAsia="pl-PL"/>
        </w:rPr>
        <w:br/>
        <w:t>Minimalne wymagania, które muszą spełniać wszystkie oferty: </w:t>
        <w:br/>
        <w:br/>
        <w:t>Przewidziane jest zastrzeżenie prawa do udzielenia zamówienia na podstawie ofert wstępnych bez przeprowadzenia negocjacji nie </w:t>
        <w:br/>
        <w:t>Przewidziany jest podział negocjacji na etapy w celu ograniczenia liczby ofert: nie </w:t>
        <w:br/>
        <w:t>Należy podać informacje na temat etapów negocjacji (w tym liczbę etapów): </w:t>
        <w:br/>
        <w:br/>
        <w:t>Informacje dodatkowe </w:t>
        <w:br/>
        <w:br/>
        <w:br/>
      </w:r>
      <w:r>
        <w:rPr>
          <w:rFonts w:eastAsia="Times New Roman"/>
          <w:b/>
          <w:bCs/>
          <w:color w:val="000000"/>
          <w:sz w:val="22"/>
          <w:szCs w:val="22"/>
          <w:lang w:eastAsia="pl-PL"/>
        </w:rPr>
        <w:t>IV.3.2) Informacje na temat dialogu konkurencyjnego</w:t>
      </w:r>
      <w:r>
        <w:rPr>
          <w:rFonts w:eastAsia="Times New Roman"/>
          <w:color w:val="000000"/>
          <w:sz w:val="22"/>
          <w:szCs w:val="22"/>
          <w:lang w:eastAsia="pl-PL"/>
        </w:rPr>
        <w:br/>
        <w:t>Opis potrzeb i wymagań zamawiającego lub informacja o sposobie uzyskania tego opisu: </w:t>
        <w:br/>
        <w:br/>
        <w:t>Informacja o wysokości nagród dla wykonawców, którzy podczas dialogu konkurencyjnego przedstawili rozwiązania stanowiące podstawę do składania ofert, jeżeli zamawiający przewiduje nagrody: </w:t>
        <w:br/>
        <w:br/>
        <w:t>Wstępny harmonogram postępowania: </w:t>
        <w:br/>
        <w:br/>
        <w:t>Podział dialogu na etapy w celu ograniczenia liczby rozwiązań: nie </w:t>
        <w:br/>
        <w:t>Należy podać informacje na temat etapów dialogu: </w:t>
        <w:br/>
        <w:br/>
        <w:br/>
        <w:t>Informacje dodatkowe: </w:t>
        <w:br/>
        <w:br/>
      </w:r>
      <w:r>
        <w:rPr>
          <w:rFonts w:eastAsia="Times New Roman"/>
          <w:b/>
          <w:bCs/>
          <w:color w:val="000000"/>
          <w:sz w:val="22"/>
          <w:szCs w:val="22"/>
          <w:lang w:eastAsia="pl-PL"/>
        </w:rPr>
        <w:t>IV.3.3) Informacje na temat partnerstwa innowacyjnego</w:t>
      </w:r>
      <w:r>
        <w:rPr>
          <w:rFonts w:eastAsia="Times New Roman"/>
          <w:color w:val="000000"/>
          <w:sz w:val="22"/>
          <w:szCs w:val="22"/>
          <w:lang w:eastAsia="pl-PL"/>
        </w:rPr>
        <w:br/>
        <w:t>Elementy opisu przedmiotu zamówienia definiujące minimalne wymagania, którym muszą odpowiadać wszystkie oferty: </w:t>
        <w:br/>
        <w:br/>
        <w:t>Podział negocjacji na etapy w celu ograniczeniu liczby ofert podlegających negocjacjom poprzez zastosowanie kryteriów oceny ofert wskazanych w specyfikacji istotnych warunków zamówienia: </w:t>
        <w:br/>
        <w:t>nie </w:t>
        <w:br/>
        <w:t>Informacje dodatkowe: </w:t>
        <w:br/>
        <w:br/>
      </w:r>
      <w:r>
        <w:rPr>
          <w:rFonts w:eastAsia="Times New Roman"/>
          <w:b/>
          <w:bCs/>
          <w:color w:val="000000"/>
          <w:sz w:val="22"/>
          <w:szCs w:val="22"/>
          <w:lang w:eastAsia="pl-PL"/>
        </w:rPr>
        <w:t>IV.4) Licytacja elektroniczna </w:t>
      </w:r>
      <w:r>
        <w:rPr>
          <w:rFonts w:eastAsia="Times New Roman"/>
          <w:color w:val="000000"/>
          <w:sz w:val="22"/>
          <w:szCs w:val="22"/>
          <w:lang w:eastAsia="pl-PL"/>
        </w:rPr>
        <w:br/>
        <w:t>Adres strony internetowej, na której będzie prowadzona licytacja elektroniczna: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Adres strony internetowej, na której jest dostępny opis przedmiotu zamówienia w licytacji elektronicznej: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Wymagania dotyczące rejestracji i identyfikacji wykonawców w licytacji elektronicznej, w tym wymagania techniczne urządzeń informatycznych: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Sposób postępowania w toku licytacji elektronicznej, w tym określenie minimalnych wysokości postąpień: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Informacje o liczbie etapów licytacji elektronicznej i czasie ich trwania:</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Licytacja wieloetapowa</w:t>
      </w:r>
    </w:p>
    <w:tbl>
      <w:tblPr>
        <w:tblW w:w="2583" w:type="dxa"/>
        <w:jc w:val="left"/>
        <w:tblInd w:w="0" w:type="dxa"/>
        <w:tblBorders/>
        <w:tblCellMar>
          <w:top w:w="15" w:type="dxa"/>
          <w:left w:w="15" w:type="dxa"/>
          <w:bottom w:w="15" w:type="dxa"/>
          <w:right w:w="15" w:type="dxa"/>
        </w:tblCellMar>
        <w:tblLook w:val="04a0"/>
      </w:tblPr>
      <w:tblGrid>
        <w:gridCol w:w="734"/>
        <w:gridCol w:w="1848"/>
      </w:tblGrid>
      <w:tr>
        <w:trPr/>
        <w:tc>
          <w:tcPr>
            <w:tcW w:w="734"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color w:val="00000A"/>
                <w:sz w:val="22"/>
                <w:szCs w:val="22"/>
                <w:lang w:eastAsia="pl-PL"/>
              </w:rPr>
              <w:t>etap nr</w:t>
            </w:r>
          </w:p>
        </w:tc>
        <w:tc>
          <w:tcPr>
            <w:tcW w:w="1848" w:type="dxa"/>
            <w:tcBorders/>
            <w:shd w:fill="auto" w:val="clear"/>
            <w:vAlign w:val="center"/>
          </w:tcPr>
          <w:p>
            <w:pPr>
              <w:pStyle w:val="Normal"/>
              <w:spacing w:lineRule="auto" w:line="240" w:before="0" w:after="0"/>
              <w:rPr>
                <w:rFonts w:eastAsia="Times New Roman"/>
                <w:color w:val="00000A"/>
                <w:sz w:val="24"/>
                <w:szCs w:val="24"/>
                <w:lang w:eastAsia="pl-PL"/>
              </w:rPr>
            </w:pPr>
            <w:r>
              <w:rPr>
                <w:rFonts w:eastAsia="Times New Roman"/>
                <w:color w:val="00000A"/>
                <w:sz w:val="22"/>
                <w:szCs w:val="22"/>
                <w:lang w:eastAsia="pl-PL"/>
              </w:rPr>
              <w:t>czas trwania etapu</w:t>
            </w:r>
          </w:p>
        </w:tc>
      </w:tr>
      <w:tr>
        <w:trPr>
          <w:trHeight w:val="23" w:hRule="exact"/>
        </w:trPr>
        <w:tc>
          <w:tcPr>
            <w:tcW w:w="734" w:type="dxa"/>
            <w:tcBorders/>
            <w:shd w:fill="auto" w:val="clear"/>
            <w:vAlign w:val="center"/>
          </w:tcPr>
          <w:p>
            <w:pPr>
              <w:pStyle w:val="Normal"/>
              <w:spacing w:lineRule="auto" w:line="240" w:before="0" w:after="0"/>
              <w:rPr>
                <w:rFonts w:eastAsia="Times New Roman"/>
                <w:color w:val="00000A"/>
                <w:sz w:val="22"/>
                <w:szCs w:val="22"/>
                <w:lang w:eastAsia="pl-PL"/>
              </w:rPr>
            </w:pPr>
            <w:r>
              <w:rPr>
                <w:rFonts w:eastAsia="Times New Roman"/>
                <w:color w:val="00000A"/>
                <w:sz w:val="22"/>
                <w:szCs w:val="22"/>
                <w:lang w:eastAsia="pl-PL"/>
              </w:rPr>
            </w:r>
          </w:p>
        </w:tc>
        <w:tc>
          <w:tcPr>
            <w:tcW w:w="1848" w:type="dxa"/>
            <w:tcBorders/>
            <w:shd w:fill="auto" w:val="clear"/>
            <w:vAlign w:val="center"/>
          </w:tcPr>
          <w:p>
            <w:pPr>
              <w:pStyle w:val="Normal"/>
              <w:spacing w:lineRule="auto" w:line="240" w:before="0" w:after="0"/>
              <w:rPr>
                <w:rFonts w:eastAsia="Times New Roman"/>
                <w:color w:val="00000A"/>
                <w:sz w:val="22"/>
                <w:szCs w:val="22"/>
                <w:lang w:eastAsia="pl-PL"/>
              </w:rPr>
            </w:pPr>
            <w:r>
              <w:rPr>
                <w:rFonts w:eastAsia="Times New Roman"/>
                <w:color w:val="00000A"/>
                <w:sz w:val="22"/>
                <w:szCs w:val="22"/>
                <w:lang w:eastAsia="pl-PL"/>
              </w:rPr>
            </w:r>
          </w:p>
        </w:tc>
      </w:tr>
    </w:tbl>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t>Wykonawcy, którzy nie złożyli nowych postąpień, zostaną zakwalifikowani do następnego etapu: nie</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Termin otwarcia licytacji elektronicznej: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t>Termin i warunki zamknięcia licytacji elektronicznej: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t>Istotne dla stron postanowienia, które zostaną wprowadzone do treści zawieranej umowy w sprawie zamówienia publicznego, albo ogólne warunki umowy, albo wzór umowy:</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t>Wymagania dotyczące zabezpieczenia należytego wykonania umowy: </w:t>
      </w:r>
    </w:p>
    <w:p>
      <w:pPr>
        <w:pStyle w:val="Normal"/>
        <w:spacing w:lineRule="atLeast" w:line="450" w:before="0" w:after="0"/>
        <w:rPr>
          <w:rFonts w:eastAsia="Times New Roman"/>
          <w:color w:val="000000"/>
          <w:sz w:val="27"/>
          <w:szCs w:val="27"/>
          <w:lang w:eastAsia="pl-PL"/>
        </w:rPr>
      </w:pPr>
      <w:r>
        <w:rPr>
          <w:rFonts w:eastAsia="Times New Roman"/>
          <w:color w:val="000000"/>
          <w:sz w:val="22"/>
          <w:szCs w:val="22"/>
          <w:lang w:eastAsia="pl-PL"/>
        </w:rPr>
        <w:br/>
        <w:t>Informacje dodatkowe: </w:t>
      </w:r>
    </w:p>
    <w:p>
      <w:pPr>
        <w:pStyle w:val="Normal"/>
        <w:spacing w:lineRule="atLeast" w:line="450" w:before="0" w:after="0"/>
        <w:rPr>
          <w:rFonts w:eastAsia="Times New Roman"/>
          <w:color w:val="000000"/>
          <w:sz w:val="27"/>
          <w:szCs w:val="27"/>
          <w:lang w:eastAsia="pl-PL"/>
        </w:rPr>
      </w:pPr>
      <w:r>
        <w:rPr>
          <w:rFonts w:eastAsia="Times New Roman"/>
          <w:b/>
          <w:bCs/>
          <w:color w:val="000000"/>
          <w:sz w:val="22"/>
          <w:szCs w:val="22"/>
          <w:lang w:eastAsia="pl-PL"/>
        </w:rPr>
        <w:t>IV.5) ZMIANA UMOWY</w:t>
      </w:r>
      <w:r>
        <w:rPr>
          <w:rFonts w:eastAsia="Times New Roman"/>
          <w:color w:val="000000"/>
          <w:sz w:val="22"/>
          <w:szCs w:val="22"/>
          <w:lang w:eastAsia="pl-PL"/>
        </w:rPr>
        <w:br/>
      </w:r>
      <w:r>
        <w:rPr>
          <w:rFonts w:eastAsia="Times New Roman"/>
          <w:b/>
          <w:bCs/>
          <w:color w:val="000000"/>
          <w:sz w:val="22"/>
          <w:szCs w:val="22"/>
          <w:lang w:eastAsia="pl-PL"/>
        </w:rPr>
        <w:t>Przewiduje się istotne zmiany postanowień zawartej umowy w stosunku do treści oferty, na podstawie której dokonano wyboru wykonawcy:</w:t>
      </w:r>
      <w:r>
        <w:rPr>
          <w:rFonts w:eastAsia="Times New Roman"/>
          <w:color w:val="000000"/>
          <w:sz w:val="22"/>
          <w:szCs w:val="22"/>
          <w:lang w:eastAsia="pl-PL"/>
        </w:rPr>
        <w:t> tak </w:t>
        <w:br/>
        <w:t>Należy wskazać zakres, charakter zmian oraz warunki wprowadzenia zmian: </w:t>
        <w:br/>
        <w:t>1. Zamawiający przewiduje możliwość dokonania zmiany zawartej umowy w stosunku do treści oferty, na podstawie której dokonano wyboru Wykonawcy, w przypadku wystąpienia co najmniej jednej z okoliczności wymienionych poniżej, z uwzględnieniem warunków ich wprowadzenia. 2. Strony dopuszczają zmianę terminu realizacji przedmiotu umowy w przypadku: 1) realizacji dodatkowych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oraz b. zmiana wykonawcy spowodowałaby istotną niedogodność lub znaczne zwiększenie kosztów dla zamawiającego oraz c. wartość każdej kolejnej zmiany nie przekracza 50% wartości zamówienia określonej pierwotnie w umowie 2) wystąpienia okoliczności niezależnych od Wykonawcy skutkujących niemożliwością dotrzymania terminu określonego w §2 ust. 1 pkt 2 umowy w przypadku konieczności wykonania przez Zamawiającego projektu zamiennego dla wprowadzenia zmian rozwiązań technicznych lub usunięcia wad w dostarczonej dokumentacji projektowej; 3) spowodowane przebiegiem procesu inwestycyjnego i niezawinione przez Wykonawcę; 4) błędów w dokumentacji projektowej, których usunięcie będzie poprzedzać konieczność konsultacji z projektantem i naniesienia przez niego poprawek lub zmian w projekcie; 5) wystąpienia warunków atmosferycznych niepozwalających na realizację robót, dla których określona odpowiednimi normami technologia wymaga właściwych warunków atmosferycznych, termin wykonania zamówienia może ulec zmianie o okres odpowiadający wstrzymaniu lub opóźnieniu prac z tego powodu — jeżeli przy zachowaniu należytej staranności z uwzględnieniem profesjonalnego charakteru Wykonawcy nie można było uniknąć zmiany terminu wykonania umowy. 3. We wszystkich przypadkach określonych w §17 ust. 2, termin realizacji przedmiotu umowy może ulec przedłużeniu, nie dłużej jednak niż o czas trwania okoliczności, o których mowa w §17 ust. 2. 4. Zamawiający dopuszcza ewentualne zmiany następujących postanowień umowy: 1) zmiany osób wykonujących czynności Wykonawcy, wymienionych w wykazie stanowiącym załącznik do umowy, pod warunkiem wyrażenia zgody przez Zamawiającego oraz, że osoby te będą spełniać warunki opisane w SIWZ, 2) zmiany kierownika budowy na wniosek Zamawiającego w przypadku, gdy nie wykonuje on swoich obowiązków wynikających z Umowy. W przypadku zmiany kierownika budowy - nowy kierownik budowy musi spełniać wymagania określone w SIWZ dla danego specjalisty 3) zmiany osób biorących udział w przedsięwzięciu ze strony Zamawiającego, 4) zmiany terminu zakończenia przedmiotu zamówienia spowodowane przebiegiem procesu inwestycyjnego i niezawinione przez Wykonawcę, 5) zmiany podwykonawców w przypadku wprowadzenia podwykonawcy, wprowadzenia nowego (kolejnego) podwykonawcy, rezygnacji podwykonawcy, zmiany wartości lub zakresu robót wykonywanych przez podwykonawcę. Zamawiający może wyrazić zgodę na powyższe po zaakceptowaniu umowy Wykonawcy z podwykonawcą wraz z częścią dokumentacji dotyczącą 6) wykonania robót określonych w Umowie, w terminie 14 dni od przekazania umowy przez Wykonawcę. Jeżeli zmiana albo rezygnacja z podwykonawcy dotyczy podmiotu, na którego zasoby wykonawca powoływał się, na zasadach określonych w art. 26 ust. 2b, w celu wykazania spełniania warunków udziału w postępowaniu, o których mowa w art. 22 ust. wykonawca jest obowiązany wykazać zamawiającemu, iż proponowany inny podwykonawca lub wykonawca samodzielnie spełnia je w stopniu nie mniejszym niż wymagany w trakcie postępowania o udzielenie zamówienia </w:t>
        <w:br/>
      </w:r>
      <w:r>
        <w:rPr>
          <w:rFonts w:eastAsia="Times New Roman"/>
          <w:b/>
          <w:bCs/>
          <w:color w:val="000000"/>
          <w:sz w:val="22"/>
          <w:szCs w:val="22"/>
          <w:lang w:eastAsia="pl-PL"/>
        </w:rPr>
        <w:t>IV.6) INFORMACJE ADMINISTRACYJNE </w:t>
      </w:r>
      <w:r>
        <w:rPr>
          <w:rFonts w:eastAsia="Times New Roman"/>
          <w:color w:val="000000"/>
          <w:sz w:val="22"/>
          <w:szCs w:val="22"/>
          <w:lang w:eastAsia="pl-PL"/>
        </w:rPr>
        <w:br/>
        <w:br/>
      </w:r>
      <w:r>
        <w:rPr>
          <w:rFonts w:eastAsia="Times New Roman"/>
          <w:b/>
          <w:bCs/>
          <w:color w:val="000000"/>
          <w:sz w:val="22"/>
          <w:szCs w:val="22"/>
          <w:lang w:eastAsia="pl-PL"/>
        </w:rPr>
        <w:t>IV.6.1) Sposób udostępniania informacji o charakterze poufnym </w:t>
      </w:r>
      <w:r>
        <w:rPr>
          <w:rFonts w:eastAsia="Times New Roman"/>
          <w:i/>
          <w:iCs/>
          <w:color w:val="000000"/>
          <w:sz w:val="22"/>
          <w:szCs w:val="22"/>
          <w:lang w:eastAsia="pl-PL"/>
        </w:rPr>
        <w:t>(jeżeli dotyczy): </w:t>
      </w:r>
      <w:r>
        <w:rPr>
          <w:rFonts w:eastAsia="Times New Roman"/>
          <w:color w:val="000000"/>
          <w:sz w:val="22"/>
          <w:szCs w:val="22"/>
          <w:lang w:eastAsia="pl-PL"/>
        </w:rPr>
        <w:br/>
        <w:br/>
      </w:r>
      <w:r>
        <w:rPr>
          <w:rFonts w:eastAsia="Times New Roman"/>
          <w:b/>
          <w:bCs/>
          <w:color w:val="000000"/>
          <w:sz w:val="22"/>
          <w:szCs w:val="22"/>
          <w:lang w:eastAsia="pl-PL"/>
        </w:rPr>
        <w:t>Środki służące ochronie informacji o charakterze poufnym</w:t>
      </w:r>
      <w:r>
        <w:rPr>
          <w:rFonts w:eastAsia="Times New Roman"/>
          <w:color w:val="000000"/>
          <w:sz w:val="22"/>
          <w:szCs w:val="22"/>
          <w:lang w:eastAsia="pl-PL"/>
        </w:rPr>
        <w:br/>
        <w:br/>
      </w:r>
      <w:r>
        <w:rPr>
          <w:rFonts w:eastAsia="Times New Roman"/>
          <w:b/>
          <w:bCs/>
          <w:color w:val="000000"/>
          <w:sz w:val="22"/>
          <w:szCs w:val="22"/>
          <w:lang w:eastAsia="pl-PL"/>
        </w:rPr>
        <w:t>IV.6.2) Termin składania ofert lub wniosków o dopuszczenie do udziału w postępowaniu: </w:t>
      </w:r>
      <w:r>
        <w:rPr>
          <w:rFonts w:eastAsia="Times New Roman"/>
          <w:color w:val="000000"/>
          <w:sz w:val="22"/>
          <w:szCs w:val="22"/>
          <w:lang w:eastAsia="pl-PL"/>
        </w:rPr>
        <w:br/>
        <w:t>Data: 30/09/2016, godzina: 10:00, </w:t>
        <w:br/>
        <w:t>Skrócenie terminu składania wniosków, ze względu na pilną potrzebę udzielenia zamówienia (przetarg nieograniczony, przetarg ograniczony, negocjacje z ogłoszeniem): </w:t>
        <w:br/>
        <w:t>nie </w:t>
        <w:br/>
        <w:t>Wskazać powody: </w:t>
        <w:br/>
        <w:br/>
        <w:t>Język lub języki, w jakich mogą być sporządzane oferty lub wnioski o dopuszczenie do udziału w postępowaniu </w:t>
        <w:br/>
        <w:t>&gt; język polski</w:t>
        <w:br/>
      </w:r>
      <w:r>
        <w:rPr>
          <w:rFonts w:eastAsia="Times New Roman"/>
          <w:b/>
          <w:bCs/>
          <w:color w:val="000000"/>
          <w:sz w:val="22"/>
          <w:szCs w:val="22"/>
          <w:lang w:eastAsia="pl-PL"/>
        </w:rPr>
        <w:t>IV.6.3) Termin związania ofertą: </w:t>
      </w:r>
      <w:r>
        <w:rPr>
          <w:rFonts w:eastAsia="Times New Roman"/>
          <w:color w:val="000000"/>
          <w:sz w:val="22"/>
          <w:szCs w:val="22"/>
          <w:lang w:eastAsia="pl-PL"/>
        </w:rPr>
        <w:t>okres w dniach: 30 (od ostatecznego terminu składania ofert) </w:t>
        <w:br/>
      </w:r>
      <w:r>
        <w:rPr>
          <w:rFonts w:eastAsia="Times New Roman"/>
          <w:b/>
          <w:bCs/>
          <w:color w:val="000000"/>
          <w:sz w:val="22"/>
          <w:szCs w:val="22"/>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Pr>
          <w:rFonts w:eastAsia="Times New Roman"/>
          <w:color w:val="000000"/>
          <w:sz w:val="22"/>
          <w:szCs w:val="22"/>
          <w:lang w:eastAsia="pl-PL"/>
        </w:rPr>
        <w:t> nie </w:t>
        <w:br/>
      </w:r>
      <w:r>
        <w:rPr>
          <w:rFonts w:eastAsia="Times New Roman"/>
          <w:b/>
          <w:bCs/>
          <w:color w:val="000000"/>
          <w:sz w:val="22"/>
          <w:szCs w:val="22"/>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Pr>
          <w:rFonts w:eastAsia="Times New Roman"/>
          <w:color w:val="000000"/>
          <w:sz w:val="22"/>
          <w:szCs w:val="22"/>
          <w:lang w:eastAsia="pl-PL"/>
        </w:rPr>
        <w:t> nie </w:t>
        <w:br/>
      </w:r>
      <w:r>
        <w:rPr>
          <w:rFonts w:eastAsia="Times New Roman"/>
          <w:b/>
          <w:bCs/>
          <w:color w:val="000000"/>
          <w:sz w:val="22"/>
          <w:szCs w:val="22"/>
          <w:lang w:eastAsia="pl-PL"/>
        </w:rPr>
        <w:t>IV.6.6) Informacje dodatkowe:</w:t>
      </w:r>
    </w:p>
    <w:p>
      <w:pPr>
        <w:pStyle w:val="Normal"/>
        <w:rPr>
          <w:sz w:val="22"/>
          <w:szCs w:val="22"/>
        </w:rPr>
      </w:pPr>
      <w:r>
        <w:rPr>
          <w:sz w:val="22"/>
          <w:szCs w:val="22"/>
        </w:rPr>
      </w:r>
    </w:p>
    <w:sectPr>
      <w:type w:val="nextPage"/>
      <w:pgSz w:w="11906" w:h="16838"/>
      <w:pgMar w:left="1417" w:right="1417" w:header="0" w:top="1417" w:footer="0"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s>
</file>

<file path=word/settings.xml><?xml version="1.0" encoding="utf-8"?>
<w:settings xmlns:w="http://schemas.openxmlformats.org/wordprocessingml/2006/main">
  <w:zoom w:percent="100"/>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eastAsiaTheme="minorHAnsi"/>
        <w:color w:val="FF0000"/>
        <w:sz w:val="22"/>
        <w:szCs w:val="22"/>
        <w:lang w:val="pl-PL"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73302"/>
    <w:pPr>
      <w:widowControl/>
      <w:bidi w:val="0"/>
      <w:spacing w:lineRule="auto" w:line="276" w:before="0" w:after="200"/>
      <w:jc w:val="left"/>
    </w:pPr>
    <w:rPr>
      <w:rFonts w:ascii="Times New Roman" w:hAnsi="Times New Roman" w:eastAsia="Calibri" w:cs="Times New Roman" w:eastAsiaTheme="minorHAnsi"/>
      <w:color w:val="FF0000"/>
      <w:sz w:val="22"/>
      <w:szCs w:val="22"/>
      <w:lang w:val="pl-PL" w:eastAsia="en-US"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ae6060"/>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Application>LibreOffice/5.1.2.2$Windows_x86 LibreOffice_project/d3bf12ecb743fc0d20e0be0c58ca359301eb705f</Application>
  <Pages>17</Pages>
  <Words>3786</Words>
  <Characters>25459</Characters>
  <CharactersWithSpaces>29340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2016-09-15T07:30:00Z</dcterms:created>
  <dc:creator>Admin</dc:creator>
  <dc:description/>
  <dc:language>pl-PL</dc:language>
  <cp:lastModifiedBy/>
  <dcterms:modified xsi:type="dcterms:W3CDTF">2016-09-15T10:10:19Z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