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</w:t>
      </w:r>
      <w:r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2019</w:t>
      </w:r>
      <w:r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Budowa Otwartej Strefy Aktywności w Cieszowie na działce nr 175/1, gmina Stare Bogaczowice.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D85FD1" w:rsidRDefault="00D85FD1" w:rsidP="007D7BC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ListParagraph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BC1"/>
    <w:rsid w:val="0001072B"/>
    <w:rsid w:val="00130C2A"/>
    <w:rsid w:val="001C1ADB"/>
    <w:rsid w:val="00291573"/>
    <w:rsid w:val="003827F0"/>
    <w:rsid w:val="00405A03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D85FD1"/>
    <w:rsid w:val="00DC5FC9"/>
    <w:rsid w:val="00E64077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176</Words>
  <Characters>1057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Leszek</cp:lastModifiedBy>
  <cp:revision>3</cp:revision>
  <cp:lastPrinted>2018-06-06T08:15:00Z</cp:lastPrinted>
  <dcterms:created xsi:type="dcterms:W3CDTF">2018-07-30T06:50:00Z</dcterms:created>
  <dcterms:modified xsi:type="dcterms:W3CDTF">2019-01-03T12:08:00Z</dcterms:modified>
</cp:coreProperties>
</file>