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2F369F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RIG.271.22</w:t>
      </w:r>
      <w:r w:rsidR="00D85FD1" w:rsidRPr="00864943">
        <w:rPr>
          <w:b w:val="0"/>
          <w:sz w:val="24"/>
          <w:szCs w:val="24"/>
        </w:rPr>
        <w:t>.</w:t>
      </w:r>
      <w:r w:rsidR="00D85FD1">
        <w:rPr>
          <w:b w:val="0"/>
          <w:sz w:val="24"/>
          <w:szCs w:val="24"/>
        </w:rPr>
        <w:t>2019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2F369F" w:rsidRPr="002F369F">
        <w:rPr>
          <w:rFonts w:ascii="Times New Roman" w:hAnsi="Times New Roman" w:cs="Times New Roman"/>
          <w:sz w:val="24"/>
          <w:szCs w:val="24"/>
        </w:rPr>
        <w:t>Dostawa gazu płynnego propan do celów grzewczych w ilości około 40 000 l w sezonie grzewczym 2019/2020 do Szkoły Podstawowej w Starych Bogaczowicach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9157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2019-09-23T08:15:00Z</dcterms:created>
  <dcterms:modified xsi:type="dcterms:W3CDTF">2019-09-23T08:24:00Z</dcterms:modified>
</cp:coreProperties>
</file>