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C1" w:rsidRDefault="009F6CE2" w:rsidP="00EB1C4B">
      <w:pPr>
        <w:jc w:val="both"/>
      </w:pPr>
      <w:r>
        <w:t xml:space="preserve">Gmina Stare Bogaczowice zawiadamia, że od dnia 1 stycznia 2020 r. wszelkie płatności dokonywane przez Gminę realizowane bezgotówkowo, na postawie faktur zakupu z wskazaną kwotą podatku VAT, Będą realizowane z zastosowaniem mechanizmu podzielonej płatności </w:t>
      </w:r>
      <w:proofErr w:type="spellStart"/>
      <w:r>
        <w:t>(spli</w:t>
      </w:r>
      <w:proofErr w:type="spellEnd"/>
      <w:r>
        <w:t xml:space="preserve">t </w:t>
      </w:r>
      <w:proofErr w:type="spellStart"/>
      <w:r>
        <w:t>paymant</w:t>
      </w:r>
      <w:proofErr w:type="spellEnd"/>
      <w:r>
        <w:t>).</w:t>
      </w:r>
    </w:p>
    <w:p w:rsidR="009F6CE2" w:rsidRDefault="009F6CE2" w:rsidP="00EB1C4B">
      <w:pPr>
        <w:jc w:val="both"/>
      </w:pPr>
      <w:r>
        <w:t>Jednocześnie informujemy, iż Gmina będzie realizować płatności na rzecz kontrahentów, prowadzących działalność gospodarczą tylko na ich rachunki rozliczeniowe i utworzone do nich rachunki VAT.</w:t>
      </w:r>
    </w:p>
    <w:p w:rsidR="009F6CE2" w:rsidRDefault="009F6CE2" w:rsidP="00EB1C4B">
      <w:pPr>
        <w:jc w:val="both"/>
      </w:pPr>
      <w:r>
        <w:t>Zwracamy uwagę, iż od 1 listopada 2019 r. zgodnie z noweliza</w:t>
      </w:r>
      <w:r w:rsidR="00EB1C4B">
        <w:t>cja ustawy z 11 marca 2004 r. o </w:t>
      </w:r>
      <w:r>
        <w:t>podatku od towarów i usług (ustawa z 9 sierpnia 2019 r. o zmiani</w:t>
      </w:r>
      <w:r w:rsidR="00EB1C4B">
        <w:t>e ustawy o podatku od towarów i </w:t>
      </w:r>
      <w:r>
        <w:t xml:space="preserve">usług oraz niektórych innych ustaw, Dz.U.2019.1751 z dnia 2019.09.13), podatnicy którzy dokonują dostawy towarów lub świadczą usługi wymienione w załączniku nr 15 do ustawy oraz nabywcy (podatnicy VAT zarówno czynni jak i zwolnieni) ww. towarów i usług zobowiązani są posiadać rachunek rozliczeniowy, w rozumieniu prawa bankowego lub rachunek w SKOK, w związku </w:t>
      </w:r>
      <w:r w:rsidR="00EB1C4B">
        <w:t>z </w:t>
      </w:r>
      <w:r>
        <w:t xml:space="preserve">prowadzoną działalnością gospodarczą prowadzonych w walucie polskiej. </w:t>
      </w:r>
    </w:p>
    <w:sectPr w:rsidR="009F6CE2" w:rsidSect="000156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9F6CE2"/>
    <w:rsid w:val="000156C1"/>
    <w:rsid w:val="009F6CE2"/>
    <w:rsid w:val="00EB1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6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slawie</dc:creator>
  <cp:lastModifiedBy>slawie</cp:lastModifiedBy>
  <cp:revision>1</cp:revision>
  <dcterms:created xsi:type="dcterms:W3CDTF">2019-12-16T08:30:00Z</dcterms:created>
  <dcterms:modified xsi:type="dcterms:W3CDTF">2019-12-16T08:41:00Z</dcterms:modified>
</cp:coreProperties>
</file>